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1" w:rsidRPr="0001203D" w:rsidRDefault="000B70E1" w:rsidP="000B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0B70E1" w:rsidRPr="0001203D" w:rsidRDefault="000B70E1" w:rsidP="000B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B70E1" w:rsidRPr="0001203D" w:rsidRDefault="000B70E1" w:rsidP="000B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B70E1" w:rsidRPr="0001203D" w:rsidRDefault="000B70E1" w:rsidP="000B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0B70E1" w:rsidRPr="0001203D" w:rsidRDefault="000B70E1" w:rsidP="000B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0B70E1" w:rsidRPr="0001203D" w:rsidRDefault="000B70E1" w:rsidP="000B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B70E1" w:rsidRDefault="000B70E1" w:rsidP="000B70E1"/>
    <w:p w:rsidR="000B70E1" w:rsidRDefault="000B70E1" w:rsidP="000B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0B70E1" w:rsidRPr="003E5071" w:rsidRDefault="000B70E1" w:rsidP="000B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80-81</w:t>
      </w:r>
      <w:r>
        <w:rPr>
          <w:rFonts w:ascii="Times New Roman" w:hAnsi="Times New Roman" w:cs="Times New Roman"/>
          <w:b/>
          <w:sz w:val="28"/>
          <w:szCs w:val="28"/>
        </w:rPr>
        <w:t>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«А» </w:t>
      </w:r>
    </w:p>
    <w:p w:rsidR="000B70E1" w:rsidRDefault="000B70E1" w:rsidP="000B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70E1" w:rsidRDefault="000B70E1" w:rsidP="000B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0E1">
        <w:rPr>
          <w:rFonts w:ascii="Times New Roman" w:hAnsi="Times New Roman" w:cs="Times New Roman"/>
          <w:b/>
          <w:sz w:val="28"/>
          <w:szCs w:val="28"/>
        </w:rPr>
        <w:t>«</w:t>
      </w:r>
      <w:r w:rsidRPr="000B70E1">
        <w:rPr>
          <w:rFonts w:ascii="Times New Roman" w:hAnsi="Times New Roman" w:cs="Times New Roman"/>
          <w:sz w:val="28"/>
          <w:szCs w:val="28"/>
        </w:rPr>
        <w:t>Технология РД сварки деталей из меди и ее сплавов»</w:t>
      </w:r>
    </w:p>
    <w:p w:rsidR="000B70E1" w:rsidRDefault="000B70E1" w:rsidP="000B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Особенностью сварки </w:t>
      </w:r>
      <w:r>
        <w:rPr>
          <w:rFonts w:ascii="Times New Roman" w:hAnsi="Times New Roman" w:cs="Times New Roman"/>
          <w:sz w:val="28"/>
          <w:szCs w:val="28"/>
        </w:rPr>
        <w:t>меди</w:t>
      </w:r>
      <w:r w:rsidRPr="000B70E1">
        <w:rPr>
          <w:rFonts w:ascii="Times New Roman" w:hAnsi="Times New Roman" w:cs="Times New Roman"/>
          <w:sz w:val="28"/>
          <w:szCs w:val="28"/>
        </w:rPr>
        <w:t xml:space="preserve"> и ее сплавов является склонность швов к образованию горячих трещин. Кислород, сурьма, висмут, сера и свинец образуют с медью легкоплавкие эвтектики, которые скапливаются по границам кристаллитов. Это требует ограничения содержания примесей в меди: O2 — до 0,03,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— до 0,003,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—до 0,005,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—до 0,03% (по массе). Для ответственных конструкций содержание этих примесей должно быть еще ниже: 02≤0,01, Bi≤0,0005, Pb≤0,004 %. Для особо ответственных изделий содержание O2 должно быть значительно ниже — менее 0,003 % (по массе). Содержание S не должно превышать 0,1 % (по массе).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0E1">
        <w:rPr>
          <w:rFonts w:ascii="Times New Roman" w:hAnsi="Times New Roman" w:cs="Times New Roman"/>
          <w:i/>
          <w:sz w:val="28"/>
          <w:szCs w:val="28"/>
        </w:rPr>
        <w:t>Склонность к порообразованию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Медь и ее сплавы проявляют повышенную склонность к образованию пор в металле шва 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зоне. Причиной образования пор является водород, водяные пары или образующийся углекислый газ при взаимодействии окиси углерода с закисью меди.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Высокие градиенты температуры способствуют развитию термической диффузии водорода в зоне термического влияния, что приводит к сегрегации водорода вблизи линии сплавления и увеличивает вероятность возникновения дефектов: пор, трещин. Растворимость водорода в меди зависит от содержания в ней кислорода и легирующих компонентов.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При сварке латуней причиной пористости может стать испарение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, температура кипения которого ниже температуры плавления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и составляет 907 °С. Испарение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уменьшает введение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При сварке бронз выгорание легирующих примесей также может стать причиной появления пористости.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0E1">
        <w:rPr>
          <w:rFonts w:ascii="Times New Roman" w:hAnsi="Times New Roman" w:cs="Times New Roman"/>
          <w:i/>
          <w:sz w:val="28"/>
          <w:szCs w:val="28"/>
        </w:rPr>
        <w:t>Подготовка под сварку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Свариваемый металл и электродная проволока перед сваркой тщательно очищаются от окислов механически (шабером, наждаком и пр.) или химически (травлением в растворе, содержащем в 1 л 75 мл HNO3, 100 мл H2,SO4, 1 мл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>, остальное — дистиллированная вода, с последующей промывкой в воде, затем обезжириваются).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Выбор технического процесса сварки изделия в первую очередь определяется его назначением, сложностью (наличие коротких или криволинейных швов в различных пространственных положениях, труднодоступных мест), а также числом изготавливаемых изделий (серия) и требованиями, предъявляемыми к их качеству.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0E1">
        <w:rPr>
          <w:rFonts w:ascii="Times New Roman" w:hAnsi="Times New Roman" w:cs="Times New Roman"/>
          <w:i/>
          <w:sz w:val="28"/>
          <w:szCs w:val="28"/>
        </w:rPr>
        <w:t>Газовая сварка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При единичном производстве и ремонтных работах рекомендуется использовать газовую сварку, в процессе которой осуществляется подогрев и начальная термическая обработка изделия. Невысокие температурные градиенты уменьшают воздействие сварочного термического цикла на металл в зоне сварки (шов, зона термического влияния). 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и легирование металла через присадочную проволоку. Газовую сварку можно применять как для чистой меди, так и для ее сплавов.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Газовая горелка — тепловой источник малой сосредоточенности, поэтому для сварки меди желательно использовать </w:t>
      </w:r>
      <w:proofErr w:type="spellStart"/>
      <w:proofErr w:type="gramStart"/>
      <w:r w:rsidRPr="000B70E1">
        <w:rPr>
          <w:rFonts w:ascii="Times New Roman" w:hAnsi="Times New Roman" w:cs="Times New Roman"/>
          <w:sz w:val="28"/>
          <w:szCs w:val="28"/>
        </w:rPr>
        <w:t>ацетилено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-кислородную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сварку, обеспечивающую наибольшую температуру ядра пламени. Для сварки толщин более 10 мм рекомендуется применять две горелки, из которых одна используется для подогрева, а вторая для образования сварочной ванны.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Для сварки меди и бронз используют нормальное пламя β = vO2/vC2H2 =1,05÷1,10, а для сварки латуней β= 1,3÷1,4 (с целью уменьшения выгорания цинка).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металла сварочной ванны, несмотря на защиту от окружающей среды продуктами сгорания, производится извлечением закиси меди флюсами или введением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через присадочную проволоку.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Сварочные флюсы для меди содержат соединения бора (борная кислота, борный ангидрид, бура), которые растворяют закись меди, образуя легкоплавкую эвтектику, и выводят ее в шлак. Кроме соединений бора, флюсы могут содер</w:t>
      </w:r>
      <w:r>
        <w:rPr>
          <w:rFonts w:ascii="Times New Roman" w:hAnsi="Times New Roman" w:cs="Times New Roman"/>
          <w:sz w:val="28"/>
          <w:szCs w:val="28"/>
        </w:rPr>
        <w:t xml:space="preserve">жать фосфаты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Pr="000B70E1">
        <w:rPr>
          <w:rFonts w:ascii="Times New Roman" w:hAnsi="Times New Roman" w:cs="Times New Roman"/>
          <w:sz w:val="28"/>
          <w:szCs w:val="28"/>
        </w:rPr>
        <w:t>1).</w:t>
      </w:r>
    </w:p>
    <w:p w:rsidR="000B70E1" w:rsidRDefault="000B70E1" w:rsidP="000B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35EE39" wp14:editId="3400D9F3">
            <wp:extent cx="4249728" cy="1368000"/>
            <wp:effectExtent l="0" t="0" r="0" b="3810"/>
            <wp:docPr id="4" name="Рисунок 4" descr="https://www.autowelding.ru/img2/med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welding.ru/img2/med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 b="10327"/>
                    <a:stretch/>
                  </pic:blipFill>
                  <pic:spPr bwMode="auto">
                    <a:xfrm>
                      <a:off x="0" y="0"/>
                      <a:ext cx="4286250" cy="13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табл. 1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70E1">
        <w:rPr>
          <w:rFonts w:ascii="Times New Roman" w:hAnsi="Times New Roman" w:cs="Times New Roman"/>
          <w:sz w:val="28"/>
          <w:szCs w:val="28"/>
        </w:rPr>
        <w:t>Флюсы наносят на зачищенные и обезжиренные свариваемые кромки по 10—12 мм на сторону. Дополнительно их можно вносить с помощью присадочного металла, на который наносят покрытие из компонентов флюса и жидкого стекла с добавками древесного угля [10—20 % (по массе)]. При сварке алюминиевых бронз в состав флюса надо вводить фториды и хлориды, растворяющие Аl2О3, который получается при окислении алюминия в составе бронзы.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При сварке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толщиной до 3 мм разделку кромок не производят, в качестве присадочной проволоки используют медь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или М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, так как медь не успевает существенно окислиться. При больших толщинах применяют присадочную проволоку, легированную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раскислителями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. При сварке медных сплавов состав присадочной проволоки должен совпадать с составом основного металла. При сварке латуней следует применять кремнистую латунь ЛК80-3. Медь больших толщин сваривают в вертикальном положении. После сварки осуществляют проковку в подогретом состоянии (до 300—400 °С) с последующим отжигом. При проковке получается мелкозернистая структура 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шва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и повышаются его пластические свойства.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При правильно выполненной сварке и последующей проковке сварные швы имеют прочность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= 166÷215 МПа и угол загиба 120—180°.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0E1">
        <w:rPr>
          <w:rFonts w:ascii="Times New Roman" w:hAnsi="Times New Roman" w:cs="Times New Roman"/>
          <w:i/>
          <w:sz w:val="28"/>
          <w:szCs w:val="28"/>
        </w:rPr>
        <w:t>Ручная сварка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Выполняется на постоянном токе обратной полярности. Ориентирово</w:t>
      </w:r>
      <w:r>
        <w:rPr>
          <w:rFonts w:ascii="Times New Roman" w:hAnsi="Times New Roman" w:cs="Times New Roman"/>
          <w:sz w:val="28"/>
          <w:szCs w:val="28"/>
        </w:rPr>
        <w:t>чные режимы приведены в (табл.</w:t>
      </w:r>
      <w:r w:rsidRPr="000B7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B5FF91" wp14:editId="241A31AC">
            <wp:extent cx="4154868" cy="1368000"/>
            <wp:effectExtent l="0" t="0" r="0" b="3810"/>
            <wp:docPr id="3" name="Рисунок 3" descr="https://www.autowelding.ru/img2/med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owelding.ru/img2/med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9424" r="1672" b="10280"/>
                    <a:stretch/>
                  </pic:blipFill>
                  <pic:spPr bwMode="auto">
                    <a:xfrm>
                      <a:off x="0" y="0"/>
                      <a:ext cx="4213519" cy="1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табл. 2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Медь толщиной до 4 см сваривают без разделки кромок, до 10 мм — с односторонней разделкой при угле скоса кромок до 60—70° и притуплении 1,5—3 мм. При большей толщине рекомендуется Х-образная разделка.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Для сварки латуней, бронз 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медноникелевых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сплавов применяются электроды марок ММЗ-2, Бр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>/ЛИВТ, ЦБ-1, МН-4 и др. Широкое применение нашли электроды с покрытием «Комсомолец-100», в состав покрытия входят следующие компоненты, % (по массе): плавиковый шпат 10, полевой шпат 12, ферросилиций 8, ферромарганец 50, жидкое стекло 20. Подогрев свариваемых кромок необходим при толщине более 4 мм, при толщине 5—8 мм металл подогревают до 200—300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>, при толщине 24 мм 750—800 °С.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Теплопроводность и электропроводность металла шва при сварке покрытыми электродами значительно снижаются. В процессе плавления электрода с покрытием в металл шва переходит часть легирующих 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компонентов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и электропроводность шва составляет порядка 20 % от электропроводности меди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. Механические свойства </w:t>
      </w:r>
      <w:r w:rsidRPr="000B70E1">
        <w:rPr>
          <w:rFonts w:ascii="Times New Roman" w:hAnsi="Times New Roman" w:cs="Times New Roman"/>
          <w:sz w:val="28"/>
          <w:szCs w:val="28"/>
        </w:rPr>
        <w:lastRenderedPageBreak/>
        <w:t xml:space="preserve">швов, выполненных дуговой сваркой покрытыми электродами, вполне удовлетворительны: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= 176÷196 МПа, угол загиба 180°.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Ручная дуговая сварка латуни применяется редко, так как интенсивное испарение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затрудняет работу сварщика. При сварке латуни применяют предварительный подогрев, пониженные токи и повышенные скорости. Сварные соединения из латуни Л62 имеют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 243—340 МПа, угол загиба 126—180°.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>Сварку бронз покрытыми электродами выполняют постоянным током обратной полярности как с подогревом, так и без предварительного подогрева, применяемые токи 160—280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>, диаметр электродов 6—8 мм.</w:t>
      </w:r>
    </w:p>
    <w:p w:rsidR="000B70E1" w:rsidRPr="000B70E1" w:rsidRDefault="000B70E1" w:rsidP="000B7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0E1">
        <w:rPr>
          <w:rFonts w:ascii="Times New Roman" w:hAnsi="Times New Roman" w:cs="Times New Roman"/>
          <w:i/>
          <w:sz w:val="28"/>
          <w:szCs w:val="28"/>
        </w:rPr>
        <w:t>Автоматическая сварка под флюсом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Основным преимуществом автоматической сварки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под флюсом является возможность получения стабильных высоких механических свойств без предварительного подогрева. Поэтому при изготовлении крупногабаритных сварных конструкций из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больших толщин технологический процесс достаточно прост и почти не отличается от процесса сварки сталей.</w:t>
      </w:r>
    </w:p>
    <w:p w:rsid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Химические составы некоторых флюсов, применяющихся для автоматической сварки меди и ее сплавов плавящимся электродом (ГОСТ 9087—69), приведены 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68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(табл.3)</w:t>
      </w:r>
    </w:p>
    <w:p w:rsidR="000B70E1" w:rsidRPr="000B70E1" w:rsidRDefault="000B70E1" w:rsidP="00CE5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12ED2D" wp14:editId="6A21B1EF">
            <wp:extent cx="4180739" cy="1440000"/>
            <wp:effectExtent l="0" t="0" r="0" b="8255"/>
            <wp:docPr id="2" name="Рисунок 2" descr="https://www.autowelding.ru/img2/med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welding.ru/img2/med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b="46511"/>
                    <a:stretch/>
                  </pic:blipFill>
                  <pic:spPr bwMode="auto">
                    <a:xfrm>
                      <a:off x="0" y="0"/>
                      <a:ext cx="4286250" cy="14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468">
        <w:rPr>
          <w:rFonts w:ascii="Times New Roman" w:hAnsi="Times New Roman" w:cs="Times New Roman"/>
          <w:sz w:val="28"/>
          <w:szCs w:val="28"/>
        </w:rPr>
        <w:t xml:space="preserve"> табл. 3</w:t>
      </w:r>
      <w:r w:rsidRPr="000B70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B40ED1" wp14:editId="7BA93E77">
            <wp:extent cx="4113760" cy="972000"/>
            <wp:effectExtent l="0" t="0" r="1270" b="0"/>
            <wp:docPr id="5" name="Рисунок 5" descr="https://www.autowelding.ru/img2/med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welding.ru/img2/med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8" b="6262"/>
                    <a:stretch/>
                  </pic:blipFill>
                  <pic:spPr bwMode="auto">
                    <a:xfrm>
                      <a:off x="0" y="0"/>
                      <a:ext cx="4286251" cy="10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468">
        <w:rPr>
          <w:rFonts w:ascii="Times New Roman" w:hAnsi="Times New Roman" w:cs="Times New Roman"/>
          <w:sz w:val="28"/>
          <w:szCs w:val="28"/>
        </w:rPr>
        <w:t>табл. 4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0E1">
        <w:rPr>
          <w:rFonts w:ascii="Times New Roman" w:hAnsi="Times New Roman" w:cs="Times New Roman"/>
          <w:sz w:val="28"/>
          <w:szCs w:val="28"/>
        </w:rPr>
        <w:t xml:space="preserve">При сварке меди под такими кислыми флюсами в металл шва переходят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, в результате ухудшаются тепло- и электрофизические свойства соединений по сравнению с основным металлом. Применение бескислородных фторидных флюсов, например марки АН-M1, </w:t>
      </w:r>
      <w:proofErr w:type="gramStart"/>
      <w:r w:rsidRPr="000B70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B70E1">
        <w:rPr>
          <w:rFonts w:ascii="Times New Roman" w:hAnsi="Times New Roman" w:cs="Times New Roman"/>
          <w:sz w:val="28"/>
          <w:szCs w:val="28"/>
        </w:rPr>
        <w:t xml:space="preserve"> содержит, % (по массе), 55 MgF2, 40 </w:t>
      </w:r>
      <w:proofErr w:type="spellStart"/>
      <w:r w:rsidRPr="000B70E1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0B70E1">
        <w:rPr>
          <w:rFonts w:ascii="Times New Roman" w:hAnsi="Times New Roman" w:cs="Times New Roman"/>
          <w:sz w:val="28"/>
          <w:szCs w:val="28"/>
        </w:rPr>
        <w:t>, 5 BaF2, позволяет получать швы, удельное сопротивление которых в 1,5 раза ниже, а теплопроводность в 2 раза выше по сравнению со швами, выполненными под кислым флюсом АН-348А.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>Для электродуговой сварки меди используются керамические флюсы: ЖМ-1 для сварки меди и К-13МВТУ для сварки меди со сталью.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Режимы сварки меди под флюсом </w:t>
      </w:r>
      <w:r>
        <w:rPr>
          <w:rFonts w:ascii="Times New Roman" w:hAnsi="Times New Roman" w:cs="Times New Roman"/>
          <w:sz w:val="28"/>
          <w:szCs w:val="28"/>
        </w:rPr>
        <w:t>К-13МВТУ приведены в табл.4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Сварку ведут на постоянном токе обратной полярности при жестком закреплении на подкладках из охлаждаемой меди (толщиной до 2,5 мм) или на графите (толщиной 5—6 мм). Состав флюса К-13МВТУ, % (по массе): глинозем 20, плавиковый шпат 20, кварцевый песок 8—10, магнезит 15, мел 15, бура безводная 15—19, порошок алюминия 3—5. Применение керамического флюса позволяет </w:t>
      </w:r>
      <w:proofErr w:type="spellStart"/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раскислить</w:t>
      </w:r>
      <w:proofErr w:type="spellEnd"/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и легировать металл шва, электро- и теплопроводность металла шва получаются на уровне исходного металла.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С увеличением толщины металла керамические флюсы становятся ограниченно пригодными, так как не обеспечивают требуемой плотности и необходимой пластичности соединения. Снизить пористость при сварке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и хромистой бронзы позволила смесь, состоящая из 80 % (по массе) флюса АН-26С и 20 % флюса АН-20С. Лучшие результаты по плотности швов обеспечивает флюс сухой грануляции АН-М13 (ВТУ ИЭС 56Ф—72).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Для сварки латуни применяют плавленые флюсы (АН-20, ФН-10), а также специально разработанный для латуней флюс МАТИ-53. Ориентировочный режим сварки латуни толщиной 12 мм: ток дуги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Iд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 = 450÷470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, напряжение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Uд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 = 30÷32В, скорость сварки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vсв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 = 25 м/ч, используется односторонняя сварка без разделки кромок в один проход. Предел прочности сварного соединения из латуни марок Л62, ЛМд58-2, Л062-1, выполненного проволокой БрОЦ4-3 под флюсом АН-20, без усиления шва составляет 245—343 МПа, а с усилием шва 294— 392 МПа, угол загиба 100—180°.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Автоматическую дуговую сварку под флюсом применяют для соединения меди со сталью. Сварка производится со смещением электрода на медь, практически без оплавления стали: расплавленная медь смачивает стальную кромку и соединение образуется за счет диффузии меди в сталь. Применяется специальная разделка кромок: скос только медной кромки под углом 45° с притуплением, равным половине толщины. Стыковое или угловое соединения собираются без зазора, расстояние оси электрода от края медной кромки составляет 0,65—0,70 толщины меди. Режим сварки такой же, как и при сварке медных соединений, но сварочный ток снижают на 15—20%- Сварные соединения медь — низкоуглеродистая сталь обладают хорошими механическими свойствами: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 = 205÷225 МПа, ψ=59÷72%, KCU = 343÷981 кДж/м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>.</w:t>
      </w:r>
    </w:p>
    <w:p w:rsidR="000B70E1" w:rsidRPr="00CE5468" w:rsidRDefault="000B70E1" w:rsidP="00CE5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468">
        <w:rPr>
          <w:rFonts w:ascii="Times New Roman" w:hAnsi="Times New Roman" w:cs="Times New Roman"/>
          <w:i/>
          <w:sz w:val="28"/>
          <w:szCs w:val="28"/>
        </w:rPr>
        <w:t>Электрошлаковая сварка меди и ее сплавов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Применяется для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больших толщин 30—55 мм. Легирование шва осуществляют, применяя пластинчатые электроды соответствующего состава. Температура плавления флюса должна быть ниже температуры плавления меди, применяются легкоплавкие флюсы системы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LiF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—CaF2, которые обеспечивают устойчивый процесс, подогрев и плавление кромок на требуемую глубину, хорошее формирование шва и легкое удаление шлаковой корки. Особенностью режимов электрошлаковой сварки меди являются повышенные сварочные токи: I = 800÷1000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Uд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 =  40÷50 В, скорость подачи пластинчатого электрода 12— 15 м/ч. Механические свойства металла шва мало отличаются от свойств основного металла: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=190÷197 МПа, δ=46÷47%, KCU= 1559÷1579 кДж/м2, α=180°.</w:t>
      </w:r>
    </w:p>
    <w:p w:rsidR="000B70E1" w:rsidRPr="00CE5468" w:rsidRDefault="000B70E1" w:rsidP="00CE5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468">
        <w:rPr>
          <w:rFonts w:ascii="Times New Roman" w:hAnsi="Times New Roman" w:cs="Times New Roman"/>
          <w:i/>
          <w:sz w:val="28"/>
          <w:szCs w:val="28"/>
        </w:rPr>
        <w:t>Дуговая сварка в защитных газах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Ручную, полуавтоматическую и автоматическую сварку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и ее сплавов можно производить плавящимся и неплавящимся электродом. Наиболее часто применяют сварку вольфрамовым электродом с подачей присадочного металла в виде проволоки непосредственно в зону дуги, узкой профилированной про-ставки, закладываемой 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в стык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>, или с применением технологического бурта на одной из стыкуемых деталей. Реже применяется сварка плавящимся электродом.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>В качестве защитных газов используют азот особой чистоты по МРТУ 6-02-375—66, аргон сорта высший по ГОСТ 10157—79, гелий высшей категории качества марок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и Б по ТУ 51-940—80, а также их смеси в соотношении по объему 50—75 % аргона.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>При сварке в среде аргона плавящимся электродом процесс неустойчив, с трудом устанавливается стабильный струйный перенос металла в сварочной дуге. При сварке в среде азота эффективный и термический КПД дугового разряда выше, чем для аргона и гелия. Глубина проплавления получается выше, но устойчивость дугового разряда в азоте ниже, чем в аргоне и гелии. Несмотря на высокую чистоту защитных газов, медь при сварке подвергается окислению и может возникать пористость, что определяет необходимость применения легированных присадочных и электродных проволок.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Сварку меди неплавящимся электродом осуществляют на постоянном токе прямой полярности. При сварке электрод располагают строго в плоскости стыка, наклон электрода 60—80° «углом назад». При сварке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толщиной более 4—5 мм рекомендуется подогрев до 300—400 °С.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Присадочные проволоки из чистой меди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0B70E1" w:rsidRPr="000B70E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при сварке обеспечивают получение металла шва, по составу и физическим свойствам близкого к основному металлу, однако механические свойства сварного соединения понижены, наличие пористости уменьшает плотность металла шва. При введении в состав присадочных проволок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и легирующих компонентов механические свойства возрастают, но, как правило, снижается тепло- и электропроводность металла шва, что в ряде случаев недопустимо. В таких случаях рекомендуются присадочные проволоки, легированные сильными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раскислителями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микроколичествах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, которые после сварки не остаются в составе твердых растворов, а переходят в свои соединения и образуют  высокодисперсные шлаковые включения и поэтому не влияют на физические свойства металлов.</w:t>
      </w:r>
    </w:p>
    <w:p w:rsidR="000B70E1" w:rsidRPr="000B70E1" w:rsidRDefault="000B70E1" w:rsidP="00CE5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9B015C" wp14:editId="33901EAF">
            <wp:extent cx="4258798" cy="2196000"/>
            <wp:effectExtent l="0" t="0" r="8890" b="0"/>
            <wp:docPr id="1" name="Рисунок 1" descr="https://www.autowelding.ru/img2/med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towelding.ru/img2/med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5" b="6341"/>
                    <a:stretch/>
                  </pic:blipFill>
                  <pic:spPr bwMode="auto">
                    <a:xfrm>
                      <a:off x="0" y="0"/>
                      <a:ext cx="4286250" cy="22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468">
        <w:rPr>
          <w:rFonts w:ascii="Times New Roman" w:hAnsi="Times New Roman" w:cs="Times New Roman"/>
          <w:sz w:val="28"/>
          <w:szCs w:val="28"/>
        </w:rPr>
        <w:t xml:space="preserve"> табл. 5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Составы присадочных проволок приведены в табл. 27.5. Применение присадочных проволок для сварки чистой меди, приведенных в табл. 27.5, позволяет получить металл шва с физическими и механическими свойствами на уровне основного металла </w:t>
      </w:r>
      <w:proofErr w:type="spellStart"/>
      <w:r w:rsidR="000B70E1" w:rsidRPr="000B70E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0B70E1" w:rsidRPr="000B70E1">
        <w:rPr>
          <w:rFonts w:ascii="Times New Roman" w:hAnsi="Times New Roman" w:cs="Times New Roman"/>
          <w:sz w:val="28"/>
          <w:szCs w:val="28"/>
        </w:rPr>
        <w:t>, коррозионная стойкость сварных соединений такая же, как и у основного металла.</w:t>
      </w:r>
    </w:p>
    <w:p w:rsidR="000B70E1" w:rsidRPr="00CE5468" w:rsidRDefault="000B70E1" w:rsidP="00CE5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468">
        <w:rPr>
          <w:rFonts w:ascii="Times New Roman" w:hAnsi="Times New Roman" w:cs="Times New Roman"/>
          <w:i/>
          <w:sz w:val="28"/>
          <w:szCs w:val="28"/>
        </w:rPr>
        <w:t>Другие способы сварки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>Медь, как металл высокой пластичности, хорошо сваривается всеми видами сварки термомеханического класса, кроме контактной сварки, так как медь обладает малым переходным электрическим сопротивлением. Для приварки выводов из тонких медных проволок в изделиях электронной техники используют термокомпрессионную сварку. Для более крупных изделий сложной конфигурации широко применяют диффузионную сварку в вакууме, позволяющую получать соединения меди не только с медью, но и с другими металлами и даже неметаллическими материалами.</w:t>
      </w:r>
    </w:p>
    <w:p w:rsidR="000B70E1" w:rsidRPr="000B70E1" w:rsidRDefault="00CE5468" w:rsidP="000B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0E1" w:rsidRPr="000B70E1">
        <w:rPr>
          <w:rFonts w:ascii="Times New Roman" w:hAnsi="Times New Roman" w:cs="Times New Roman"/>
          <w:sz w:val="28"/>
          <w:szCs w:val="28"/>
        </w:rPr>
        <w:t>Холодную сварку меди пластической деформацией сдвига или сдавливания используют для сварки медных шин в энергетических установках. В этом случае обеспечивается удовлетворительное электрическое сопротивление сварных соединений.</w:t>
      </w:r>
    </w:p>
    <w:p w:rsidR="000B70E1" w:rsidRP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</w:p>
    <w:p w:rsidR="000B70E1" w:rsidRPr="00CE5468" w:rsidRDefault="000B70E1" w:rsidP="000B70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5468">
        <w:rPr>
          <w:rFonts w:ascii="Times New Roman" w:hAnsi="Times New Roman" w:cs="Times New Roman"/>
          <w:b/>
          <w:i/>
          <w:sz w:val="28"/>
          <w:szCs w:val="28"/>
        </w:rPr>
        <w:t>Вопросы для закрепления материала: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Свойства меди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Влияние примесей на свариваемость меди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Сварка меди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Технология сварки меди и ее сплавов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Сварка меди и медных сплавов с металлами и сплавами других групп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Pr="00CE5468" w:rsidRDefault="000B70E1" w:rsidP="00CE54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E5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Сварка стали с медью и медными сплавами</w:t>
        </w:r>
      </w:hyperlink>
      <w:r w:rsidRPr="00CE5468">
        <w:rPr>
          <w:rFonts w:ascii="Times New Roman" w:hAnsi="Times New Roman" w:cs="Times New Roman"/>
          <w:sz w:val="28"/>
          <w:szCs w:val="28"/>
        </w:rPr>
        <w:t>?</w:t>
      </w:r>
    </w:p>
    <w:p w:rsidR="000B70E1" w:rsidRDefault="000B70E1" w:rsidP="000B70E1">
      <w:pPr>
        <w:rPr>
          <w:rFonts w:ascii="Times New Roman" w:hAnsi="Times New Roman" w:cs="Times New Roman"/>
          <w:sz w:val="28"/>
          <w:szCs w:val="28"/>
        </w:rPr>
      </w:pPr>
    </w:p>
    <w:p w:rsidR="00CE5468" w:rsidRDefault="00CE5468" w:rsidP="000B70E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E5468">
        <w:rPr>
          <w:rFonts w:ascii="Times New Roman" w:hAnsi="Times New Roman" w:cs="Times New Roman"/>
          <w:color w:val="C00000"/>
          <w:sz w:val="28"/>
          <w:szCs w:val="28"/>
        </w:rPr>
        <w:t>Домашнее задание:</w:t>
      </w:r>
    </w:p>
    <w:p w:rsidR="00CE5468" w:rsidRPr="00CE5468" w:rsidRDefault="00CE5468" w:rsidP="000B70E1">
      <w:pPr>
        <w:rPr>
          <w:rFonts w:ascii="Times New Roman" w:hAnsi="Times New Roman" w:cs="Times New Roman"/>
          <w:sz w:val="28"/>
          <w:szCs w:val="28"/>
        </w:rPr>
      </w:pPr>
      <w:r w:rsidRPr="00CE5468">
        <w:rPr>
          <w:rFonts w:ascii="Times New Roman" w:hAnsi="Times New Roman" w:cs="Times New Roman"/>
          <w:sz w:val="28"/>
          <w:szCs w:val="28"/>
        </w:rPr>
        <w:t>Написать РЕФЕРАТ на тему «Медь и её сплавы»</w:t>
      </w:r>
      <w:r>
        <w:rPr>
          <w:rFonts w:ascii="Times New Roman" w:hAnsi="Times New Roman" w:cs="Times New Roman"/>
          <w:sz w:val="28"/>
          <w:szCs w:val="28"/>
        </w:rPr>
        <w:t>, не более 5 страниц печатного текста.</w:t>
      </w:r>
      <w:bookmarkStart w:id="0" w:name="_GoBack"/>
      <w:bookmarkEnd w:id="0"/>
    </w:p>
    <w:p w:rsidR="00480C44" w:rsidRPr="000B70E1" w:rsidRDefault="00480C44">
      <w:pPr>
        <w:rPr>
          <w:rFonts w:ascii="Times New Roman" w:hAnsi="Times New Roman" w:cs="Times New Roman"/>
          <w:sz w:val="28"/>
          <w:szCs w:val="28"/>
        </w:rPr>
      </w:pPr>
    </w:p>
    <w:sectPr w:rsidR="00480C44" w:rsidRPr="000B70E1" w:rsidSect="000B70E1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656"/>
    <w:multiLevelType w:val="multilevel"/>
    <w:tmpl w:val="4FDC2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68BC"/>
    <w:multiLevelType w:val="hybridMultilevel"/>
    <w:tmpl w:val="5FB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F6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B70E1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E5468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DD1AF6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1"/>
  </w:style>
  <w:style w:type="paragraph" w:styleId="2">
    <w:name w:val="heading 2"/>
    <w:basedOn w:val="a"/>
    <w:link w:val="20"/>
    <w:uiPriority w:val="9"/>
    <w:qFormat/>
    <w:rsid w:val="000B7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0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B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1"/>
  </w:style>
  <w:style w:type="paragraph" w:styleId="2">
    <w:name w:val="heading 2"/>
    <w:basedOn w:val="a"/>
    <w:link w:val="20"/>
    <w:uiPriority w:val="9"/>
    <w:qFormat/>
    <w:rsid w:val="000B7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0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B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utowelding.ru/blog/svarka_medi/2011-10-26-14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utowelding.ru/publ/1/1/vlijanie_primesej_na_svarivaemost_medi/4-1-0-5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towelding.ru/publ/1/1/svarka_stali_s_medju_i_mednymi_splavami/2-1-0-19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://www.autowelding.ru/publ/1/1/med_svojstva_medi/4-1-0-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towelding.ru/publ/1/1/svarka_medi_i_mednykh_splavov_s_metallami_i_splavami_drugikh_grupp/2-1-0-191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utowelding.ru/publ/1/1/tekhnologija_svarki_medi_i_ee_splavov/2-1-0-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2020-04-04T19:34:00Z</dcterms:created>
  <dcterms:modified xsi:type="dcterms:W3CDTF">2020-04-04T19:50:00Z</dcterms:modified>
</cp:coreProperties>
</file>